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164/3Г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26 марта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Муратов Тимур Исамитдинович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05.04.2001г.р. и гр. РФ Муратова Динара Руфатовна 02.05.2003г.р.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164/3Г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31.03.2026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164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56,6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Тобольск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10 микрорайон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3Г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Муратов Тимур Исамитдинович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Т.И. Муратов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Муратова Динара Руфатовна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Д.Р. Муратова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